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30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4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«Цифра дня»: </w:t>
      </w:r>
      <w:r>
        <w:rPr>
          <w:rStyle w:val="UserStyle_60"/>
          <w:b/>
          <w:bCs/>
          <w:sz w:val="28"/>
          <w:szCs w:val="28"/>
        </w:rPr>
        <w:t xml:space="preserve">На Южном Урале выявлено более 6 тыс. гектаров свободной для строительства земли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Fonts w:ascii="Helvetica Neue" w:hAnsi="Helvetica Neue"/>
          <w:color w:val="000000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сообщает, что в регионе продолжается реализация проекта «Земля для стройки», благодаря которому южноуральцы могут в режиме онлайн выбрать земельный участок для строительства дома, а инвесторы подобрать </w:t>
      </w:r>
      <w:r>
        <w:rPr>
          <w:rStyle w:val="UserStyle_60"/>
          <w:b/>
          <w:bCs/>
          <w:sz w:val="28"/>
          <w:szCs w:val="28"/>
        </w:rPr>
        <w:t xml:space="preserve">территорию</w:t>
      </w:r>
      <w:r>
        <w:rPr>
          <w:rStyle w:val="UserStyle_60"/>
          <w:b/>
          <w:bCs/>
          <w:sz w:val="28"/>
          <w:szCs w:val="28"/>
        </w:rPr>
        <w:t xml:space="preserve"> для возведения многоквартирных домов. В настоящее время выявлено </w:t>
      </w:r>
      <w:r>
        <w:rPr>
          <w:rStyle w:val="UserStyle_60"/>
          <w:b/>
          <w:bCs/>
          <w:sz w:val="28"/>
          <w:szCs w:val="28"/>
        </w:rPr>
        <w:t xml:space="preserve">более 5,</w:t>
      </w:r>
      <w:r>
        <w:rPr>
          <w:rStyle w:val="UserStyle_60"/>
          <w:b/>
          <w:bCs/>
          <w:sz w:val="28"/>
          <w:szCs w:val="28"/>
        </w:rPr>
        <w:t xml:space="preserve">7</w:t>
      </w:r>
      <w:r>
        <w:rPr>
          <w:rStyle w:val="UserStyle_60"/>
          <w:b/>
          <w:bCs/>
          <w:sz w:val="28"/>
          <w:szCs w:val="28"/>
        </w:rPr>
        <w:t xml:space="preserve"> тыс. земельных участков и территорий общей площадью </w:t>
      </w:r>
      <w:r>
        <w:rPr>
          <w:rStyle w:val="UserStyle_60"/>
          <w:b/>
          <w:bCs/>
          <w:sz w:val="28"/>
          <w:szCs w:val="28"/>
        </w:rPr>
        <w:t xml:space="preserve">6 026</w:t>
      </w:r>
      <w:r>
        <w:rPr>
          <w:rStyle w:val="UserStyle_60"/>
          <w:b/>
          <w:bCs/>
          <w:sz w:val="28"/>
          <w:szCs w:val="28"/>
        </w:rPr>
        <w:t xml:space="preserve"> га, которы</w:t>
      </w:r>
      <w:r>
        <w:rPr>
          <w:rStyle w:val="UserStyle_60"/>
          <w:b/>
          <w:bCs/>
          <w:sz w:val="28"/>
          <w:szCs w:val="28"/>
        </w:rPr>
        <w:t xml:space="preserve">е можно использовать для жилищного строительства.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П</w:t>
      </w:r>
      <w:r>
        <w:rPr>
          <w:rStyle w:val="UserStyle_60"/>
          <w:bCs/>
          <w:sz w:val="28"/>
          <w:szCs w:val="28"/>
        </w:rPr>
        <w:t xml:space="preserve">роект Росреестра «Земля для стройки»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является частью государственной программы «Национальная система пространственных данных». </w:t>
      </w:r>
      <w:r>
        <w:rPr>
          <w:rStyle w:val="UserStyle_60"/>
          <w:bCs/>
          <w:sz w:val="28"/>
          <w:szCs w:val="28"/>
        </w:rPr>
        <w:t xml:space="preserve">Почти четыре года назад, с июня 2021 года, его реализация началась в Челябинской области.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За эт</w:t>
      </w:r>
      <w:r>
        <w:rPr>
          <w:rStyle w:val="UserStyle_60"/>
          <w:bCs/>
          <w:sz w:val="28"/>
          <w:szCs w:val="28"/>
        </w:rPr>
        <w:t xml:space="preserve">и годы </w:t>
      </w:r>
      <w:r>
        <w:rPr>
          <w:rStyle w:val="UserStyle_60"/>
          <w:bCs/>
          <w:sz w:val="28"/>
          <w:szCs w:val="28"/>
        </w:rPr>
        <w:t xml:space="preserve">слаженная и организованная работа Управления Росреестра по Челябинской области, </w:t>
      </w:r>
      <w:r>
        <w:rPr>
          <w:rStyle w:val="UserStyle_60"/>
          <w:bCs/>
          <w:sz w:val="28"/>
          <w:szCs w:val="28"/>
        </w:rPr>
        <w:fldChar w:fldCharType="begin"/>
      </w:r>
      <w:r>
        <w:rPr>
          <w:rStyle w:val="UserStyle_60"/>
          <w:bCs/>
          <w:sz w:val="28"/>
          <w:szCs w:val="28"/>
        </w:rPr>
        <w:instrText xml:space="preserve"> HYPERLINK "https://vk.com/club57237007" </w:instrText>
      </w:r>
      <w:r>
        <w:rPr>
          <w:rStyle w:val="UserStyle_60"/>
          <w:bCs/>
          <w:sz w:val="28"/>
          <w:szCs w:val="28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регионального филиала ППК «Роскадастр»</w:t>
      </w:r>
      <w:r>
        <w:rPr>
          <w:rStyle w:val="UserStyle_60"/>
          <w:bCs/>
          <w:sz w:val="28"/>
          <w:szCs w:val="28"/>
        </w:rPr>
        <w:fldChar w:fldCharType="end"/>
      </w:r>
      <w:r>
        <w:rPr>
          <w:rStyle w:val="UserStyle_60"/>
          <w:bCs/>
          <w:sz w:val="28"/>
          <w:szCs w:val="28"/>
        </w:rPr>
        <w:t xml:space="preserve">, органов госвласти и местного самоуправления позволила наладить процесс выявления и вовлечения в оборот неиспользуемых земельных участков под индивидуальное жилищное строительство и строительство многоквартирных домов.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</w:pPr>
      <w:r>
        <w:rPr>
          <w:rStyle w:val="UserStyle_60"/>
          <w:bCs/>
          <w:sz w:val="28"/>
          <w:szCs w:val="28"/>
        </w:rPr>
        <w:t xml:space="preserve">В </w:t>
      </w:r>
      <w:r>
        <w:rPr>
          <w:rStyle w:val="UserStyle_60"/>
          <w:bCs/>
          <w:sz w:val="28"/>
          <w:szCs w:val="28"/>
        </w:rPr>
        <w:t xml:space="preserve">результате, по состоянию на 1 </w:t>
      </w:r>
      <w:r>
        <w:rPr>
          <w:rStyle w:val="UserStyle_60"/>
          <w:bCs/>
          <w:sz w:val="28"/>
          <w:szCs w:val="28"/>
        </w:rPr>
        <w:t xml:space="preserve">апреля </w:t>
      </w:r>
      <w:r>
        <w:rPr>
          <w:rStyle w:val="UserStyle_60"/>
          <w:bCs/>
          <w:sz w:val="28"/>
          <w:szCs w:val="28"/>
        </w:rPr>
        <w:t xml:space="preserve">2025 года, </w:t>
      </w:r>
      <w:r>
        <w:rPr>
          <w:rStyle w:val="UserStyle_60"/>
          <w:bCs/>
          <w:sz w:val="28"/>
          <w:szCs w:val="28"/>
        </w:rPr>
        <w:t xml:space="preserve">на территории региона </w:t>
      </w:r>
      <w:r>
        <w:rPr>
          <w:rStyle w:val="UserStyle_60"/>
          <w:bCs/>
          <w:sz w:val="28"/>
          <w:szCs w:val="28"/>
        </w:rPr>
        <w:t xml:space="preserve">выявлено</w:t>
      </w:r>
      <w:r>
        <w:rPr>
          <w:rStyle w:val="UserStyle_60"/>
          <w:bCs/>
          <w:sz w:val="28"/>
          <w:szCs w:val="28"/>
        </w:rPr>
        <w:t xml:space="preserve"> 5 </w:t>
      </w:r>
      <w:r>
        <w:rPr>
          <w:rStyle w:val="UserStyle_60"/>
          <w:bCs/>
          <w:sz w:val="28"/>
          <w:szCs w:val="28"/>
        </w:rPr>
        <w:t xml:space="preserve">751</w:t>
      </w:r>
      <w:r>
        <w:rPr>
          <w:rStyle w:val="UserStyle_60"/>
          <w:bCs/>
          <w:sz w:val="28"/>
          <w:szCs w:val="28"/>
        </w:rPr>
        <w:t xml:space="preserve"> земельный участок и территория общей площадью </w:t>
      </w:r>
      <w:r>
        <w:rPr>
          <w:rStyle w:val="UserStyle_60"/>
          <w:bCs/>
          <w:sz w:val="28"/>
          <w:szCs w:val="28"/>
        </w:rPr>
        <w:t xml:space="preserve">6 025</w:t>
      </w:r>
      <w:r>
        <w:rPr>
          <w:rStyle w:val="UserStyle_60"/>
          <w:bCs/>
          <w:sz w:val="28"/>
          <w:szCs w:val="28"/>
        </w:rPr>
        <w:t xml:space="preserve">,</w:t>
      </w:r>
      <w:r>
        <w:rPr>
          <w:rStyle w:val="UserStyle_60"/>
          <w:bCs/>
          <w:sz w:val="28"/>
          <w:szCs w:val="28"/>
        </w:rPr>
        <w:t xml:space="preserve">8</w:t>
      </w:r>
      <w:r>
        <w:rPr>
          <w:rStyle w:val="UserStyle_60"/>
          <w:bCs/>
          <w:sz w:val="28"/>
          <w:szCs w:val="28"/>
        </w:rPr>
        <w:t xml:space="preserve"> га, из них под индивидуальное жилищное строительство – 5 </w:t>
      </w:r>
      <w:r>
        <w:rPr>
          <w:rStyle w:val="UserStyle_60"/>
          <w:bCs/>
          <w:sz w:val="28"/>
          <w:szCs w:val="28"/>
        </w:rPr>
        <w:t xml:space="preserve">284</w:t>
      </w:r>
      <w:r>
        <w:rPr>
          <w:rStyle w:val="UserStyle_60"/>
          <w:bCs/>
          <w:sz w:val="28"/>
          <w:szCs w:val="28"/>
        </w:rPr>
        <w:t xml:space="preserve"> земельных участк</w:t>
      </w:r>
      <w:r>
        <w:rPr>
          <w:rStyle w:val="UserStyle_60"/>
          <w:bCs/>
          <w:sz w:val="28"/>
          <w:szCs w:val="28"/>
        </w:rPr>
        <w:t xml:space="preserve">а</w:t>
      </w:r>
      <w:r>
        <w:rPr>
          <w:rStyle w:val="UserStyle_60"/>
          <w:bCs/>
          <w:sz w:val="28"/>
          <w:szCs w:val="28"/>
        </w:rPr>
        <w:t xml:space="preserve"> и территори</w:t>
      </w:r>
      <w:r>
        <w:rPr>
          <w:rStyle w:val="UserStyle_60"/>
          <w:bCs/>
          <w:sz w:val="28"/>
          <w:szCs w:val="28"/>
        </w:rPr>
        <w:t xml:space="preserve">и</w:t>
      </w:r>
      <w:r>
        <w:rPr>
          <w:rStyle w:val="UserStyle_60"/>
          <w:bCs/>
          <w:sz w:val="28"/>
          <w:szCs w:val="28"/>
        </w:rPr>
        <w:t xml:space="preserve"> общей площадью 4 </w:t>
      </w:r>
      <w:r>
        <w:rPr>
          <w:rStyle w:val="UserStyle_60"/>
          <w:bCs/>
          <w:sz w:val="28"/>
          <w:szCs w:val="28"/>
        </w:rPr>
        <w:t xml:space="preserve">773</w:t>
      </w:r>
      <w:r>
        <w:rPr>
          <w:rStyle w:val="UserStyle_60"/>
          <w:bCs/>
          <w:sz w:val="28"/>
          <w:szCs w:val="28"/>
        </w:rPr>
        <w:t xml:space="preserve">,</w:t>
      </w:r>
      <w:r>
        <w:rPr>
          <w:rStyle w:val="UserStyle_60"/>
          <w:bCs/>
          <w:sz w:val="28"/>
          <w:szCs w:val="28"/>
        </w:rPr>
        <w:t xml:space="preserve">7</w:t>
      </w:r>
      <w:r>
        <w:rPr>
          <w:rStyle w:val="UserStyle_60"/>
          <w:bCs/>
          <w:sz w:val="28"/>
          <w:szCs w:val="28"/>
        </w:rPr>
        <w:t xml:space="preserve"> га, под многоквартирную застройку – 46</w:t>
      </w:r>
      <w:r>
        <w:rPr>
          <w:rStyle w:val="UserStyle_60"/>
          <w:bCs/>
          <w:sz w:val="28"/>
          <w:szCs w:val="28"/>
        </w:rPr>
        <w:t xml:space="preserve">7</w:t>
      </w:r>
      <w:r>
        <w:rPr>
          <w:rStyle w:val="UserStyle_60"/>
          <w:bCs/>
          <w:sz w:val="28"/>
          <w:szCs w:val="28"/>
        </w:rPr>
        <w:t xml:space="preserve"> земельных участк</w:t>
      </w:r>
      <w:r>
        <w:rPr>
          <w:rStyle w:val="UserStyle_60"/>
          <w:bCs/>
          <w:sz w:val="28"/>
          <w:szCs w:val="28"/>
        </w:rPr>
        <w:t xml:space="preserve">ов</w:t>
      </w:r>
      <w:r>
        <w:rPr>
          <w:rStyle w:val="UserStyle_60"/>
          <w:bCs/>
          <w:sz w:val="28"/>
          <w:szCs w:val="28"/>
        </w:rPr>
        <w:t xml:space="preserve"> и территори</w:t>
      </w:r>
      <w:r>
        <w:rPr>
          <w:rStyle w:val="UserStyle_60"/>
          <w:bCs/>
          <w:sz w:val="28"/>
          <w:szCs w:val="28"/>
        </w:rPr>
        <w:t xml:space="preserve">й</w:t>
      </w:r>
      <w:r>
        <w:rPr>
          <w:rStyle w:val="UserStyle_60"/>
          <w:bCs/>
          <w:sz w:val="28"/>
          <w:szCs w:val="28"/>
        </w:rPr>
        <w:t xml:space="preserve"> общей площадью 1 25</w:t>
      </w:r>
      <w:r>
        <w:rPr>
          <w:rStyle w:val="UserStyle_60"/>
          <w:bCs/>
          <w:sz w:val="28"/>
          <w:szCs w:val="28"/>
        </w:rPr>
        <w:t xml:space="preserve">2</w:t>
      </w:r>
      <w:r>
        <w:rPr>
          <w:rStyle w:val="UserStyle_60"/>
          <w:bCs/>
          <w:sz w:val="28"/>
          <w:szCs w:val="28"/>
        </w:rPr>
        <w:t xml:space="preserve">,</w:t>
      </w:r>
      <w:r>
        <w:rPr>
          <w:rStyle w:val="UserStyle_60"/>
          <w:bCs/>
          <w:sz w:val="28"/>
          <w:szCs w:val="28"/>
        </w:rPr>
        <w:t xml:space="preserve">08</w:t>
      </w:r>
      <w:r>
        <w:rPr>
          <w:rStyle w:val="UserStyle_60"/>
          <w:bCs/>
          <w:sz w:val="28"/>
          <w:szCs w:val="28"/>
        </w:rPr>
        <w:t xml:space="preserve"> га.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color w:val="ff0000"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Можно отметить, что н</w:t>
      </w:r>
      <w:r>
        <w:rPr>
          <w:rStyle w:val="UserStyle_60"/>
          <w:bCs/>
          <w:sz w:val="28"/>
          <w:szCs w:val="28"/>
        </w:rPr>
        <w:t xml:space="preserve">аибольшее число </w:t>
      </w:r>
      <w:r>
        <w:rPr>
          <w:rStyle w:val="UserStyle_60"/>
          <w:bCs/>
          <w:sz w:val="28"/>
          <w:szCs w:val="28"/>
        </w:rPr>
        <w:t xml:space="preserve">таких</w:t>
      </w:r>
      <w:r>
        <w:rPr>
          <w:rStyle w:val="UserStyle_60"/>
          <w:bCs/>
          <w:sz w:val="28"/>
          <w:szCs w:val="28"/>
        </w:rPr>
        <w:t xml:space="preserve"> участков и территорий выявлено в </w:t>
      </w:r>
      <w:r>
        <w:rPr>
          <w:rStyle w:val="UserStyle_60"/>
          <w:bCs/>
          <w:sz w:val="28"/>
          <w:szCs w:val="28"/>
        </w:rPr>
        <w:t xml:space="preserve">Челябинске, Копейске и Верхнеуральске,</w:t>
      </w:r>
      <w:r>
        <w:rPr>
          <w:rStyle w:val="UserStyle_60"/>
          <w:bCs/>
          <w:sz w:val="28"/>
          <w:szCs w:val="28"/>
        </w:rPr>
        <w:t xml:space="preserve"> а также в</w:t>
      </w:r>
      <w:r>
        <w:rPr>
          <w:rStyle w:val="UserStyle_60"/>
          <w:bCs/>
          <w:sz w:val="28"/>
          <w:szCs w:val="28"/>
        </w:rPr>
        <w:t xml:space="preserve"> Сосновском и Красноармейском районах. Лидерами по площади стали Сосновский, Красноармейский, Агаповский, Аргаяшский районы и Челябинский городской округ.</w:t>
      </w:r>
      <w:r>
        <w:rPr>
          <w:rStyle w:val="UserStyle_60"/>
          <w:bCs/>
          <w:color w:val="ff000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Что касается вовлеченных участков, </w:t>
      </w:r>
      <w:r>
        <w:rPr>
          <w:rStyle w:val="UserStyle_60"/>
          <w:bCs/>
          <w:sz w:val="28"/>
          <w:szCs w:val="28"/>
        </w:rPr>
        <w:t xml:space="preserve">то их в настоящее время в Челябинской области 2 </w:t>
      </w:r>
      <w:r>
        <w:rPr>
          <w:rStyle w:val="UserStyle_60"/>
          <w:bCs/>
          <w:sz w:val="28"/>
          <w:szCs w:val="28"/>
        </w:rPr>
        <w:t xml:space="preserve">562</w:t>
      </w:r>
      <w:r>
        <w:rPr>
          <w:rStyle w:val="UserStyle_60"/>
          <w:bCs/>
          <w:sz w:val="28"/>
          <w:szCs w:val="28"/>
        </w:rPr>
        <w:t xml:space="preserve">, общей площадью 7</w:t>
      </w:r>
      <w:r>
        <w:rPr>
          <w:rStyle w:val="UserStyle_60"/>
          <w:bCs/>
          <w:sz w:val="28"/>
          <w:szCs w:val="28"/>
        </w:rPr>
        <w:t xml:space="preserve">4</w:t>
      </w:r>
      <w:r>
        <w:rPr>
          <w:rStyle w:val="UserStyle_60"/>
          <w:bCs/>
          <w:sz w:val="28"/>
          <w:szCs w:val="28"/>
        </w:rPr>
        <w:t xml:space="preserve">3,</w:t>
      </w:r>
      <w:r>
        <w:rPr>
          <w:rStyle w:val="UserStyle_60"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  <w:t xml:space="preserve"> га, из них подходят по</w:t>
      </w:r>
      <w:r>
        <w:rPr>
          <w:rStyle w:val="UserStyle_60"/>
          <w:bCs/>
          <w:sz w:val="28"/>
          <w:szCs w:val="28"/>
        </w:rPr>
        <w:t xml:space="preserve">д</w:t>
      </w:r>
      <w:r>
        <w:rPr>
          <w:rStyle w:val="UserStyle_60"/>
          <w:bCs/>
          <w:sz w:val="28"/>
          <w:szCs w:val="28"/>
        </w:rPr>
        <w:t xml:space="preserve"> индивидуальное жилищное строительство – 2 </w:t>
      </w:r>
      <w:r>
        <w:rPr>
          <w:rStyle w:val="UserStyle_60"/>
          <w:bCs/>
          <w:sz w:val="28"/>
          <w:szCs w:val="28"/>
        </w:rPr>
        <w:t xml:space="preserve">457</w:t>
      </w:r>
      <w:r>
        <w:rPr>
          <w:rStyle w:val="UserStyle_60"/>
          <w:bCs/>
          <w:sz w:val="28"/>
          <w:szCs w:val="28"/>
        </w:rPr>
        <w:t xml:space="preserve"> земельных участк</w:t>
      </w:r>
      <w:r>
        <w:rPr>
          <w:rStyle w:val="UserStyle_60"/>
          <w:bCs/>
          <w:sz w:val="28"/>
          <w:szCs w:val="28"/>
        </w:rPr>
        <w:t xml:space="preserve">ов</w:t>
      </w:r>
      <w:r>
        <w:rPr>
          <w:rStyle w:val="UserStyle_60"/>
          <w:bCs/>
          <w:sz w:val="28"/>
          <w:szCs w:val="28"/>
        </w:rPr>
        <w:t xml:space="preserve"> (</w:t>
      </w:r>
      <w:r>
        <w:rPr>
          <w:rStyle w:val="UserStyle_60"/>
          <w:bCs/>
          <w:sz w:val="28"/>
          <w:szCs w:val="28"/>
        </w:rPr>
        <w:t xml:space="preserve">611</w:t>
      </w:r>
      <w:r>
        <w:rPr>
          <w:rStyle w:val="UserStyle_60"/>
          <w:bCs/>
          <w:sz w:val="28"/>
          <w:szCs w:val="28"/>
        </w:rPr>
        <w:t xml:space="preserve">,</w:t>
      </w:r>
      <w:r>
        <w:rPr>
          <w:rStyle w:val="UserStyle_60"/>
          <w:bCs/>
          <w:sz w:val="28"/>
          <w:szCs w:val="28"/>
        </w:rPr>
        <w:t xml:space="preserve">8</w:t>
      </w:r>
      <w:r>
        <w:rPr>
          <w:rStyle w:val="UserStyle_60"/>
          <w:bCs/>
          <w:sz w:val="28"/>
          <w:szCs w:val="28"/>
        </w:rPr>
        <w:t xml:space="preserve"> га), для постройки многоквартирных домов – 10</w:t>
      </w:r>
      <w:r>
        <w:rPr>
          <w:rStyle w:val="UserStyle_60"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  <w:t xml:space="preserve"> земельных участк</w:t>
      </w:r>
      <w:r>
        <w:rPr>
          <w:rStyle w:val="UserStyle_60"/>
          <w:bCs/>
          <w:sz w:val="28"/>
          <w:szCs w:val="28"/>
        </w:rPr>
        <w:t xml:space="preserve">ов</w:t>
      </w:r>
      <w:r>
        <w:rPr>
          <w:rStyle w:val="UserStyle_60"/>
          <w:bCs/>
          <w:sz w:val="28"/>
          <w:szCs w:val="28"/>
        </w:rPr>
        <w:t xml:space="preserve"> и территори</w:t>
      </w:r>
      <w:r>
        <w:rPr>
          <w:rStyle w:val="UserStyle_60"/>
          <w:bCs/>
          <w:sz w:val="28"/>
          <w:szCs w:val="28"/>
        </w:rPr>
        <w:t xml:space="preserve">й</w:t>
      </w:r>
      <w:r>
        <w:rPr>
          <w:rStyle w:val="UserStyle_60"/>
          <w:bCs/>
          <w:sz w:val="28"/>
          <w:szCs w:val="28"/>
        </w:rPr>
        <w:t xml:space="preserve"> (131,</w:t>
      </w:r>
      <w:r>
        <w:rPr>
          <w:rStyle w:val="UserStyle_60"/>
          <w:bCs/>
          <w:sz w:val="28"/>
          <w:szCs w:val="28"/>
        </w:rPr>
        <w:t xml:space="preserve">6</w:t>
      </w:r>
      <w:r>
        <w:rPr>
          <w:rStyle w:val="UserStyle_60"/>
          <w:bCs/>
          <w:sz w:val="28"/>
          <w:szCs w:val="28"/>
        </w:rPr>
        <w:t xml:space="preserve"> га). Примеры успешного и результативного вовлечения по проекту «Земля для стройки» можно найти в Магнитогорске, Верхнеуральске, Кыштыме и Карабаше.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Напомним, что все </w:t>
      </w:r>
      <w:r>
        <w:rPr>
          <w:rStyle w:val="UserStyle_60"/>
          <w:bCs/>
          <w:sz w:val="28"/>
          <w:szCs w:val="28"/>
        </w:rPr>
        <w:t xml:space="preserve">актуальные сведения о свободной земле размещены в сервисе «Земля для стройки» на портале пространственных данных Национальная система пространственных данных (</w:t>
      </w:r>
      <w:r>
        <w:rPr>
          <w:rStyle w:val="UserStyle_60"/>
          <w:bCs/>
          <w:sz w:val="28"/>
          <w:szCs w:val="28"/>
        </w:rPr>
        <w:fldChar w:fldCharType="begin"/>
      </w:r>
      <w:r>
        <w:rPr>
          <w:rStyle w:val="UserStyle_60"/>
          <w:bCs/>
          <w:sz w:val="28"/>
          <w:szCs w:val="28"/>
        </w:rPr>
        <w:instrText xml:space="preserve"> HYPERLINK "</w:instrText>
      </w:r>
      <w:r>
        <w:rPr>
          <w:rStyle w:val="UserStyle_60"/>
          <w:bCs/>
          <w:sz w:val="28"/>
          <w:szCs w:val="28"/>
        </w:rPr>
        <w:instrText xml:space="preserve">https://nspd.gov.ru/construction-nspd</w:instrText>
      </w:r>
      <w:r>
        <w:rPr>
          <w:rStyle w:val="UserStyle_60"/>
          <w:bCs/>
          <w:sz w:val="28"/>
          <w:szCs w:val="28"/>
        </w:rPr>
        <w:instrText xml:space="preserve">" </w:instrText>
      </w:r>
      <w:r>
        <w:rPr>
          <w:rStyle w:val="UserStyle_60"/>
          <w:bCs/>
          <w:sz w:val="28"/>
          <w:szCs w:val="28"/>
        </w:rPr>
        <w:fldChar w:fldCharType="separate"/>
      </w:r>
      <w:r>
        <w:rPr>
          <w:rStyle w:val="Hyperlink"/>
          <w:bCs/>
          <w:sz w:val="28"/>
          <w:szCs w:val="28"/>
        </w:rPr>
        <w:t xml:space="preserve">https://nspd.gov.ru/construction-nspd</w:t>
      </w:r>
      <w:r>
        <w:rPr>
          <w:rStyle w:val="UserStyle_60"/>
          <w:bCs/>
          <w:sz w:val="28"/>
          <w:szCs w:val="28"/>
        </w:rPr>
        <w:fldChar w:fldCharType="end"/>
      </w:r>
      <w:r>
        <w:rPr>
          <w:rStyle w:val="UserStyle_60"/>
          <w:bCs/>
          <w:sz w:val="28"/>
          <w:szCs w:val="28"/>
        </w:rPr>
        <w:t xml:space="preserve">).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2213</Characters>
  <CharactersWithSpaces>2596</CharactersWithSpaces>
  <DocSecurity>0</DocSecurity>
  <HyperlinksChanged>false</HyperlinksChanged>
  <Lines>18</Lines>
  <Pages>1</Pages>
  <Paragraphs>5</Paragraphs>
  <ScaleCrop>false</ScaleCrop>
  <SharedDoc>false</SharedDoc>
  <Template>Normal</Template>
  <Words>388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100</cp:revision>
  <dcterms:created xsi:type="dcterms:W3CDTF">2024-08-16T10:03:00Z</dcterms:created>
  <dcterms:modified xsi:type="dcterms:W3CDTF">2025-04-30T09:56:00Z</dcterms:modified>
  <cp:version>983040</cp:version>
</cp:coreProperties>
</file>